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A85" w14:textId="77777777" w:rsidR="009C79C3" w:rsidRPr="009C79C3" w:rsidRDefault="009C79C3" w:rsidP="009C79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 w:rsidRPr="009C79C3"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  <w:t>Hotel Medena 3*, Seget Donji, Trogir</w:t>
      </w:r>
    </w:p>
    <w:p w14:paraId="1C377E9D" w14:textId="2796E394" w:rsidR="009C79C3" w:rsidRPr="009C79C3" w:rsidRDefault="009C79C3" w:rsidP="009C79C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Hotel Medena je smješten pored Trogira u Splitsko-dalmatinskoj županiji koja se smatra jednom od glavnih turističkih i kulturnih središta Hrvatske. Županija broji oko 300 kulturnih znamenitosti uključujući, između ostalog, stari grad Trogir i Dioklecijanovu palaču u Splitu koji su pod UNESCO-vom zaštitom. Sadašnji se hotel Medena sastoji od dva krila u obliku slova Y, svako krilo ima osam </w:t>
      </w:r>
      <w:r w:rsidR="0089249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spratova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.</w:t>
      </w:r>
    </w:p>
    <w:p w14:paraId="18010EE6" w14:textId="77777777" w:rsidR="009C79C3" w:rsidRPr="009C79C3" w:rsidRDefault="00396403" w:rsidP="009C79C3">
      <w:pPr>
        <w:spacing w:before="7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BA65120">
          <v:rect id="_x0000_i1025" style="width:622.9pt;height:.75pt" o:hrpct="0" o:hrstd="t" o:hrnoshade="t" o:hr="t" fillcolor="#454545" stroked="f"/>
        </w:pict>
      </w:r>
    </w:p>
    <w:p w14:paraId="7BA55A6E" w14:textId="6791F703" w:rsidR="009C79C3" w:rsidRPr="009C79C3" w:rsidRDefault="009C79C3" w:rsidP="009C79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 w:rsidRPr="009C79C3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Posebna ponuda od 25.6. do 3.9.2022. </w:t>
      </w:r>
    </w:p>
    <w:p w14:paraId="118B15BD" w14:textId="77777777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FF0000"/>
          <w:sz w:val="20"/>
          <w:szCs w:val="20"/>
          <w:bdr w:val="none" w:sz="0" w:space="0" w:color="auto" w:frame="1"/>
          <w:lang w:val="en-US"/>
        </w:rPr>
        <w:t>Besplatno za 1 dijete do 12 g. na pomoćnom ležaju; 50% popusta za 2. dijete do 8 g. na ležaju s roditeljima</w:t>
      </w:r>
    </w:p>
    <w:p w14:paraId="1FCDBD2B" w14:textId="77777777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</w:p>
    <w:p w14:paraId="12599BEF" w14:textId="0620C94B" w:rsidR="0096428D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Cijene </w:t>
      </w: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u w:val="single"/>
          <w:bdr w:val="none" w:sz="0" w:space="0" w:color="auto" w:frame="1"/>
          <w:lang w:val="en-US"/>
        </w:rPr>
        <w:t>po osobi</w:t>
      </w: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na bazi 7 noći – all inclusive:</w:t>
      </w:r>
    </w:p>
    <w:p w14:paraId="6E6AB49F" w14:textId="4D19DE66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2340"/>
        <w:gridCol w:w="4996"/>
      </w:tblGrid>
      <w:tr w:rsidR="009C79C3" w:rsidRPr="009C79C3" w14:paraId="302F6AB3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EA01C65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Hotel Medena 3*</w:t>
            </w: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 | dolasci dnevno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F6E0012" w14:textId="77777777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25.6.-9.7.</w:t>
            </w:r>
            <w:r w:rsidRPr="009C79C3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br/>
              <w:t>20.8.-3.9.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A0580EA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9.7.-20.8.</w:t>
            </w:r>
          </w:p>
        </w:tc>
      </w:tr>
      <w:tr w:rsidR="009C79C3" w:rsidRPr="009C79C3" w14:paraId="1D662A1F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61D18C4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BPS standard kl 3*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54BD279" w14:textId="5FD646A8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476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8D63970" w14:textId="76CFB209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485 eur</w:t>
            </w:r>
          </w:p>
        </w:tc>
      </w:tr>
      <w:tr w:rsidR="009C79C3" w:rsidRPr="009C79C3" w14:paraId="79BE232B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36AB615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BMS standard kl 3*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FD84720" w14:textId="4EB0E636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495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72D8E70" w14:textId="64260D09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513 eur</w:t>
            </w:r>
          </w:p>
        </w:tc>
      </w:tr>
      <w:tr w:rsidR="009C79C3" w:rsidRPr="009C79C3" w14:paraId="16F56BA4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E582993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BPS superior NEW kl 4*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73FB71B" w14:textId="69D83228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532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2606452" w14:textId="35D37A42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560 eur</w:t>
            </w:r>
          </w:p>
        </w:tc>
      </w:tr>
      <w:tr w:rsidR="009C79C3" w:rsidRPr="009C79C3" w14:paraId="59F62519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02F41DA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BMS superior NEW kl 4*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FFE28C8" w14:textId="33864A02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560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46F394E" w14:textId="77823D67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579 eur</w:t>
            </w:r>
          </w:p>
        </w:tc>
      </w:tr>
      <w:tr w:rsidR="009C79C3" w:rsidRPr="009C79C3" w14:paraId="57443906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2FA2006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1/2+2 BPS obiteljska soba NEW kl 4*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0AB6E41" w14:textId="1DD8DFEF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765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BB198EB" w14:textId="0E037390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831 eur</w:t>
            </w:r>
          </w:p>
        </w:tc>
      </w:tr>
      <w:tr w:rsidR="009C79C3" w:rsidRPr="009C79C3" w14:paraId="1295F5F4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F4C8A39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1/2+2 BMS obiteljska soba NEW kl 4*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65F8DE3" w14:textId="7A0013C5" w:rsidR="009C79C3" w:rsidRPr="009C79C3" w:rsidRDefault="0089249F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821 eur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AD32DEE" w14:textId="73088A73" w:rsidR="009C79C3" w:rsidRPr="009C79C3" w:rsidRDefault="0089249F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868 eur</w:t>
            </w:r>
          </w:p>
        </w:tc>
      </w:tr>
      <w:tr w:rsidR="009C79C3" w:rsidRPr="009C79C3" w14:paraId="258CBDF6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E095A19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Min. boravak (noći)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7D23D5B" w14:textId="77777777" w:rsidR="009C79C3" w:rsidRPr="009C79C3" w:rsidRDefault="009C79C3" w:rsidP="009C79C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  <w:tc>
          <w:tcPr>
            <w:tcW w:w="4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788C8D1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  <w:tr w:rsidR="009C79C3" w:rsidRPr="009C79C3" w14:paraId="122B536D" w14:textId="77777777" w:rsidTr="009C79C3"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3605D83" w14:textId="77777777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Single use (doplata)</w:t>
            </w:r>
          </w:p>
        </w:tc>
        <w:tc>
          <w:tcPr>
            <w:tcW w:w="73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2F02795" w14:textId="65CF3F1E" w:rsidR="009C79C3" w:rsidRPr="009C79C3" w:rsidRDefault="009C79C3" w:rsidP="009C79C3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                      </w:t>
            </w:r>
            <w:r w:rsidRPr="009C79C3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+50%</w:t>
            </w:r>
          </w:p>
        </w:tc>
      </w:tr>
    </w:tbl>
    <w:p w14:paraId="4CE347BE" w14:textId="5AB549D3" w:rsidR="009C79C3" w:rsidRDefault="009C79C3"/>
    <w:p w14:paraId="378627AA" w14:textId="77777777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Cijena uključuje: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7 noćenja po osobi u dvokrevetnoj sobi, usluga </w:t>
      </w: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ALL INCLUSIVE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– buffet doručak, ručak, večera, piće uz obroke iz šankomata (kava, pivo, vino, sokovi, domaća alkoholna pića na aperitiv baru i baru na bazenu), snack od 16.30. do 17.00. sati u glavnom restoranu (kolači, pizza, sendviči), korištenje vanjskog bazena, Wi-Fi, parking.</w:t>
      </w:r>
    </w:p>
    <w:p w14:paraId="30AC7130" w14:textId="77777777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Popusti u 1/2+1:</w:t>
      </w:r>
    </w:p>
    <w:p w14:paraId="627EFC67" w14:textId="77777777" w:rsidR="009C79C3" w:rsidRPr="009C79C3" w:rsidRDefault="009C79C3" w:rsidP="009C79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 dijete do 12 g. na pomoćnom ležaju u pratnji 2 odrasle osobe </w:t>
      </w: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3CA5DD93" w14:textId="77777777" w:rsidR="009C79C3" w:rsidRPr="009C79C3" w:rsidRDefault="009C79C3" w:rsidP="009C79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2. dijete do 8 g. na ležaju s roditeljima 50%</w:t>
      </w:r>
    </w:p>
    <w:p w14:paraId="4232284B" w14:textId="77777777" w:rsidR="009C79C3" w:rsidRPr="009C79C3" w:rsidRDefault="009C79C3" w:rsidP="009C79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odrasla osoba starija od 12 g. na pomoćnom ležaju 20%</w:t>
      </w:r>
    </w:p>
    <w:p w14:paraId="1940A18F" w14:textId="77777777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lastRenderedPageBreak/>
        <w:t>Popusti u 1/2+2:</w:t>
      </w:r>
    </w:p>
    <w:p w14:paraId="5F82BC65" w14:textId="77777777" w:rsidR="009C79C3" w:rsidRPr="009C79C3" w:rsidRDefault="009C79C3" w:rsidP="009C79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djeca do 14 g. na pomoćnom ležaju u pratnji 2 odrasle osobe 50%</w:t>
      </w:r>
    </w:p>
    <w:p w14:paraId="3582598A" w14:textId="65BE2094" w:rsidR="009C79C3" w:rsidRDefault="009C79C3" w:rsidP="009C79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odrasla osoba starija od 14 g. na pomoćnom ležaju 20%</w:t>
      </w:r>
    </w:p>
    <w:p w14:paraId="49F4BC96" w14:textId="77777777" w:rsidR="0089249F" w:rsidRPr="009C79C3" w:rsidRDefault="0089249F" w:rsidP="0089249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</w:p>
    <w:p w14:paraId="64B1DDB8" w14:textId="26D55A16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 na recepciji: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 turistička </w:t>
      </w:r>
      <w:r w:rsidR="0089249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taks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a, dječji krevetić</w:t>
      </w:r>
    </w:p>
    <w:p w14:paraId="1693CCD7" w14:textId="2D96EE36" w:rsidR="009C79C3" w:rsidRPr="009C79C3" w:rsidRDefault="009C79C3" w:rsidP="009C79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9C79C3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Napomena: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  <w:r w:rsidR="0089249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Broj kapaciteta je ograničen. Nakon popunjavanja kapaciteta, prodaja se nastavlja po redovnim cijenama.</w:t>
      </w:r>
      <w:r w:rsidRPr="009C79C3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Cijene su promjenjive, te je potrebno prilikom provjere raspoloživosti kapaciteta obavezno provjeriti trenutnu cijenu. Agencija zadržava pravo na promjenu cijene.</w:t>
      </w:r>
    </w:p>
    <w:p w14:paraId="77DDFB04" w14:textId="62C952F0" w:rsidR="009C79C3" w:rsidRDefault="009C79C3"/>
    <w:p w14:paraId="44ED9DA8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6FBDF130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35C2377C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3CD00BA2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086E08DF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2555FE72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3438ED28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171921E9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5F36DFE9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3A9F96D2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4F572B32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p w14:paraId="34CA0F58" w14:textId="77777777" w:rsidR="00480610" w:rsidRDefault="00480610" w:rsidP="0048061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</w:pPr>
    </w:p>
    <w:sectPr w:rsidR="0048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FD8"/>
    <w:multiLevelType w:val="multilevel"/>
    <w:tmpl w:val="A79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45DB3"/>
    <w:multiLevelType w:val="multilevel"/>
    <w:tmpl w:val="D8A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75D20"/>
    <w:multiLevelType w:val="multilevel"/>
    <w:tmpl w:val="D3E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F1080"/>
    <w:multiLevelType w:val="multilevel"/>
    <w:tmpl w:val="4C4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05871"/>
    <w:multiLevelType w:val="multilevel"/>
    <w:tmpl w:val="815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125D1"/>
    <w:multiLevelType w:val="multilevel"/>
    <w:tmpl w:val="005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B5238"/>
    <w:multiLevelType w:val="multilevel"/>
    <w:tmpl w:val="F34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00C85"/>
    <w:multiLevelType w:val="multilevel"/>
    <w:tmpl w:val="0A8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C37D3"/>
    <w:multiLevelType w:val="multilevel"/>
    <w:tmpl w:val="BE4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E0A62"/>
    <w:multiLevelType w:val="multilevel"/>
    <w:tmpl w:val="E92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C3"/>
    <w:rsid w:val="00180DBE"/>
    <w:rsid w:val="00396403"/>
    <w:rsid w:val="00480610"/>
    <w:rsid w:val="006B0B1D"/>
    <w:rsid w:val="0089249F"/>
    <w:rsid w:val="0096428D"/>
    <w:rsid w:val="009C79C3"/>
    <w:rsid w:val="009E4A4C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749E"/>
  <w15:chartTrackingRefBased/>
  <w15:docId w15:val="{CD8148EA-8560-4FCE-955D-F77854C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D7FA-213D-4081-B28B-4BCA79AA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2022-03-04T12:05:00Z</dcterms:created>
  <dcterms:modified xsi:type="dcterms:W3CDTF">2022-03-04T12:07:00Z</dcterms:modified>
</cp:coreProperties>
</file>